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FE9" w14:textId="36B1B57C"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097728">
        <w:rPr>
          <w:rFonts w:eastAsia="MS Mincho" w:cs="Arial"/>
          <w:b/>
          <w:bCs/>
          <w:sz w:val="22"/>
          <w:lang w:eastAsia="ja-JP"/>
        </w:rPr>
        <w:t>6</w:t>
      </w:r>
      <w:r w:rsidRPr="00DE31D5">
        <w:rPr>
          <w:rFonts w:eastAsia="MS Mincho" w:cs="Arial"/>
          <w:b/>
          <w:bCs/>
          <w:sz w:val="22"/>
          <w:lang w:eastAsia="ja-JP"/>
        </w:rPr>
        <w:tab/>
      </w:r>
      <w:r w:rsidRPr="00E32BE3">
        <w:rPr>
          <w:rFonts w:eastAsia="MS Mincho" w:cs="Arial"/>
          <w:b/>
          <w:bCs/>
          <w:sz w:val="22"/>
          <w:lang w:eastAsia="ja-JP"/>
        </w:rPr>
        <w:t>R1-2</w:t>
      </w:r>
      <w:r w:rsidR="00461D7F" w:rsidRPr="00E32BE3">
        <w:rPr>
          <w:rFonts w:eastAsia="MS Mincho" w:cs="Arial"/>
          <w:b/>
          <w:bCs/>
          <w:sz w:val="22"/>
          <w:lang w:eastAsia="ja-JP"/>
        </w:rPr>
        <w:t>10</w:t>
      </w:r>
      <w:r w:rsidR="00326298">
        <w:rPr>
          <w:rFonts w:eastAsia="MS Mincho" w:cs="Arial"/>
          <w:b/>
          <w:bCs/>
          <w:sz w:val="22"/>
          <w:lang w:eastAsia="ja-JP"/>
        </w:rPr>
        <w:t>7964</w:t>
      </w:r>
    </w:p>
    <w:p w14:paraId="17EF7FF3" w14:textId="1C00F4A7"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097728">
        <w:rPr>
          <w:rFonts w:eastAsia="MS Mincho" w:cs="Arial"/>
          <w:b/>
          <w:bCs/>
          <w:sz w:val="22"/>
          <w:lang w:eastAsia="ja-JP"/>
        </w:rPr>
        <w:t>August</w:t>
      </w:r>
      <w:r w:rsidRPr="00DE31D5">
        <w:rPr>
          <w:rFonts w:eastAsia="MS Mincho" w:cs="Arial"/>
          <w:b/>
          <w:bCs/>
          <w:sz w:val="22"/>
          <w:lang w:eastAsia="ja-JP"/>
        </w:rPr>
        <w:t xml:space="preserve"> </w:t>
      </w:r>
      <w:r w:rsidR="00097728">
        <w:rPr>
          <w:rFonts w:eastAsia="MS Mincho" w:cs="Arial"/>
          <w:b/>
          <w:bCs/>
          <w:sz w:val="22"/>
          <w:lang w:eastAsia="ja-JP"/>
        </w:rPr>
        <w:t>16</w:t>
      </w:r>
      <w:r w:rsidRPr="00E32BE3">
        <w:rPr>
          <w:rFonts w:eastAsia="MS Mincho" w:cs="Arial"/>
          <w:b/>
          <w:bCs/>
          <w:sz w:val="22"/>
          <w:vertAlign w:val="superscript"/>
          <w:lang w:eastAsia="ja-JP"/>
        </w:rPr>
        <w:t>th</w:t>
      </w:r>
      <w:r w:rsidRPr="00DE31D5">
        <w:rPr>
          <w:rFonts w:eastAsia="MS Mincho" w:cs="Arial"/>
          <w:b/>
          <w:bCs/>
          <w:sz w:val="22"/>
          <w:lang w:eastAsia="ja-JP"/>
        </w:rPr>
        <w:t xml:space="preserve"> – 2</w:t>
      </w:r>
      <w:r w:rsidR="00E32BE3">
        <w:rPr>
          <w:rFonts w:eastAsia="MS Mincho" w:cs="Arial"/>
          <w:b/>
          <w:bCs/>
          <w:sz w:val="22"/>
          <w:lang w:eastAsia="ja-JP"/>
        </w:rPr>
        <w:t>7</w:t>
      </w:r>
      <w:r w:rsidRPr="00E32BE3">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097728" w:rsidRDefault="00562493" w:rsidP="00562493">
      <w:pPr>
        <w:widowControl w:val="0"/>
        <w:spacing w:after="0"/>
        <w:rPr>
          <w:rFonts w:eastAsia="Times New Roman"/>
          <w:b/>
          <w:bCs/>
          <w:sz w:val="24"/>
        </w:rPr>
      </w:pPr>
    </w:p>
    <w:p w14:paraId="006D8F9E" w14:textId="5913C131" w:rsidR="004F2E2A" w:rsidRPr="004F2E2A" w:rsidRDefault="004F2E2A" w:rsidP="004F2E2A">
      <w:pPr>
        <w:spacing w:after="60"/>
        <w:ind w:left="1985" w:hanging="1985"/>
        <w:rPr>
          <w:rFonts w:eastAsiaTheme="minorEastAsia" w:cs="Arial"/>
        </w:rPr>
      </w:pPr>
      <w:r>
        <w:rPr>
          <w:rFonts w:cs="Arial"/>
          <w:b/>
        </w:rPr>
        <w:t>Title:</w:t>
      </w:r>
      <w:r>
        <w:rPr>
          <w:rFonts w:cs="Arial"/>
          <w:b/>
        </w:rPr>
        <w:tab/>
      </w:r>
      <w:r w:rsidR="00F00761" w:rsidRPr="00F00761">
        <w:rPr>
          <w:rFonts w:cs="Arial"/>
        </w:rPr>
        <w:t>Draft Reply LS on RAN</w:t>
      </w:r>
      <w:r w:rsidR="009C1F0A">
        <w:rPr>
          <w:rFonts w:cs="Arial"/>
        </w:rPr>
        <w:t>3 Reply</w:t>
      </w:r>
      <w:r w:rsidR="00F00761" w:rsidRPr="00F00761">
        <w:rPr>
          <w:rFonts w:cs="Arial"/>
        </w:rPr>
        <w:t xml:space="preserve"> LS on</w:t>
      </w:r>
      <w:r w:rsidR="009C1F0A">
        <w:rPr>
          <w:rFonts w:cs="Arial"/>
        </w:rPr>
        <w:t xml:space="preserve"> RAN1 LS on</w:t>
      </w:r>
      <w:r w:rsidR="00F00761" w:rsidRPr="00F00761">
        <w:rPr>
          <w:rFonts w:cs="Arial"/>
        </w:rPr>
        <w:t xml:space="preserve"> TCI State Update for L1/L2-Centric Inter-Cell Mobility</w:t>
      </w:r>
    </w:p>
    <w:p w14:paraId="36B9B0EE" w14:textId="285E9036" w:rsidR="006F3C64" w:rsidRPr="009C1F0A" w:rsidRDefault="004F2E2A" w:rsidP="006F3C64">
      <w:pPr>
        <w:spacing w:after="60"/>
        <w:ind w:left="1985" w:hanging="1985"/>
        <w:rPr>
          <w:rFonts w:cs="Arial"/>
        </w:rPr>
      </w:pPr>
      <w:r>
        <w:rPr>
          <w:rFonts w:cs="Arial"/>
          <w:b/>
        </w:rPr>
        <w:t xml:space="preserve">Response to:      </w:t>
      </w:r>
      <w:r w:rsidR="00E62DE3">
        <w:rPr>
          <w:rFonts w:cs="Arial"/>
          <w:b/>
        </w:rPr>
        <w:t xml:space="preserve"> </w:t>
      </w:r>
      <w:r w:rsidR="009C1F0A" w:rsidRPr="009C1F0A">
        <w:rPr>
          <w:rFonts w:cs="Arial" w:hint="eastAsia"/>
        </w:rPr>
        <w:t>R3-212879</w:t>
      </w:r>
    </w:p>
    <w:p w14:paraId="441B8E21" w14:textId="35CEF7C0" w:rsidR="004F2E2A" w:rsidRDefault="004F2E2A" w:rsidP="004F2E2A">
      <w:pPr>
        <w:spacing w:after="60"/>
        <w:ind w:left="1985" w:hanging="1985"/>
        <w:rPr>
          <w:rFonts w:cs="Arial"/>
          <w:b/>
        </w:rPr>
      </w:pPr>
      <w:r>
        <w:rPr>
          <w:rFonts w:cs="Arial"/>
          <w:b/>
        </w:rPr>
        <w:t>Release:</w:t>
      </w:r>
      <w:r>
        <w:rPr>
          <w:rFonts w:cs="Arial"/>
          <w:b/>
        </w:rPr>
        <w:tab/>
      </w:r>
      <w:r w:rsidRPr="009317A0">
        <w:rPr>
          <w:rFonts w:cs="Arial"/>
        </w:rPr>
        <w:t>Rel-</w:t>
      </w:r>
      <w:r w:rsidRPr="009317A0">
        <w:rPr>
          <w:rFonts w:cs="Arial" w:hint="eastAsia"/>
        </w:rPr>
        <w:t>1</w:t>
      </w:r>
      <w:r w:rsidR="00097728">
        <w:rPr>
          <w:rFonts w:cs="Arial"/>
        </w:rPr>
        <w:t>7</w:t>
      </w:r>
    </w:p>
    <w:p w14:paraId="70286BBF" w14:textId="1DB6656F" w:rsidR="004F2E2A" w:rsidRPr="00701924" w:rsidRDefault="004F2E2A" w:rsidP="004F2E2A">
      <w:pPr>
        <w:spacing w:after="60"/>
        <w:ind w:left="1985" w:hanging="1985"/>
        <w:rPr>
          <w:rFonts w:cs="Arial"/>
          <w:bCs/>
        </w:rPr>
      </w:pPr>
      <w:r>
        <w:rPr>
          <w:rFonts w:cs="Arial"/>
          <w:b/>
        </w:rPr>
        <w:t>Work Item:</w:t>
      </w:r>
      <w:r>
        <w:rPr>
          <w:rFonts w:cs="Arial"/>
          <w:b/>
        </w:rPr>
        <w:tab/>
      </w:r>
      <w:r w:rsidR="00701924" w:rsidRPr="00701924">
        <w:rPr>
          <w:rFonts w:cs="Arial"/>
          <w:bCs/>
        </w:rPr>
        <w:t>NR_</w:t>
      </w:r>
      <w:r w:rsidR="0002755B">
        <w:rPr>
          <w:rFonts w:cs="Arial"/>
          <w:bCs/>
        </w:rPr>
        <w:t>f</w:t>
      </w:r>
      <w:r w:rsidR="00701924" w:rsidRPr="00701924">
        <w:rPr>
          <w:rFonts w:cs="Arial"/>
          <w:bCs/>
        </w:rPr>
        <w:t>eMIMO-Core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10EB9824"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472F3CE8"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Pr="00B3796E">
        <w:rPr>
          <w:rFonts w:eastAsia="宋体" w:cs="Arial"/>
          <w:bCs/>
          <w:lang w:val="es-ES"/>
        </w:rPr>
        <w:tab/>
      </w:r>
    </w:p>
    <w:p w14:paraId="4E8A9DF0" w14:textId="7F618814"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Pr="00B3796E">
        <w:rPr>
          <w:rFonts w:eastAsia="宋体" w:cs="Arial"/>
          <w:b/>
          <w:lang w:val="es-ES"/>
        </w:rPr>
        <w:tab/>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0935EF84"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4A7CDA">
        <w:rPr>
          <w:rFonts w:ascii="Times New Roman" w:eastAsia="等线" w:hAnsi="Times New Roman"/>
          <w:lang w:eastAsia="zh-CN"/>
        </w:rPr>
        <w:t>3</w:t>
      </w:r>
      <w:r w:rsidRPr="003E535F">
        <w:rPr>
          <w:rFonts w:ascii="Times New Roman" w:eastAsia="等线" w:hAnsi="Times New Roman"/>
          <w:lang w:eastAsia="zh-CN"/>
        </w:rPr>
        <w:t xml:space="preserve"> for the LS</w:t>
      </w:r>
      <w:r w:rsidR="00340501">
        <w:rPr>
          <w:rFonts w:ascii="Times New Roman" w:eastAsia="等线" w:hAnsi="Times New Roman"/>
          <w:lang w:eastAsia="zh-CN"/>
        </w:rPr>
        <w:t xml:space="preserve"> Reply</w:t>
      </w:r>
      <w:r w:rsidRPr="003E535F">
        <w:rPr>
          <w:rFonts w:ascii="Times New Roman" w:eastAsia="等线" w:hAnsi="Times New Roman"/>
          <w:lang w:eastAsia="zh-CN"/>
        </w:rPr>
        <w:t xml:space="preserve"> </w:t>
      </w:r>
      <w:r w:rsidRPr="00995F33">
        <w:rPr>
          <w:rFonts w:ascii="Times New Roman" w:eastAsia="等线" w:hAnsi="Times New Roman" w:hint="eastAsia"/>
          <w:lang w:eastAsia="zh-CN"/>
        </w:rPr>
        <w:t xml:space="preserve">in </w:t>
      </w:r>
      <w:r w:rsidR="00995F33" w:rsidRPr="00995F33">
        <w:rPr>
          <w:rFonts w:ascii="Times New Roman" w:eastAsia="等线" w:hAnsi="Times New Roman"/>
          <w:lang w:eastAsia="zh-CN"/>
        </w:rPr>
        <w:t>R2-2</w:t>
      </w:r>
      <w:r w:rsidR="00461D7F">
        <w:rPr>
          <w:rFonts w:ascii="Times New Roman" w:eastAsia="等线" w:hAnsi="Times New Roman"/>
          <w:lang w:eastAsia="zh-CN"/>
        </w:rPr>
        <w:t>1</w:t>
      </w:r>
      <w:r w:rsidR="00340501" w:rsidRPr="00340501">
        <w:rPr>
          <w:rFonts w:ascii="Times New Roman" w:eastAsia="等线" w:hAnsi="Times New Roman"/>
          <w:lang w:eastAsia="zh-CN"/>
        </w:rPr>
        <w:t>06787</w:t>
      </w:r>
      <w:r w:rsidR="00E62DE3" w:rsidRPr="00995F33">
        <w:rPr>
          <w:rFonts w:ascii="Times New Roman" w:eastAsia="等线" w:hAnsi="Times New Roman"/>
          <w:lang w:eastAsia="zh-CN"/>
        </w:rPr>
        <w:t xml:space="preserve"> </w:t>
      </w:r>
      <w:r w:rsidRPr="003E535F">
        <w:rPr>
          <w:rFonts w:ascii="Times New Roman" w:eastAsia="等线" w:hAnsi="Times New Roman"/>
          <w:lang w:eastAsia="zh-CN"/>
        </w:rPr>
        <w:t xml:space="preserve">on </w:t>
      </w:r>
      <w:r w:rsidR="00340501">
        <w:rPr>
          <w:rFonts w:ascii="Times New Roman" w:eastAsia="等线" w:hAnsi="Times New Roman"/>
          <w:lang w:eastAsia="zh-CN"/>
        </w:rPr>
        <w:t xml:space="preserve">TCI state update for </w:t>
      </w:r>
      <w:r w:rsidR="0002755B">
        <w:rPr>
          <w:rFonts w:ascii="Times New Roman" w:eastAsia="等线" w:hAnsi="Times New Roman"/>
          <w:lang w:eastAsia="zh-CN"/>
        </w:rPr>
        <w:t>L1/L2-Centric Inter-Cell Mobility</w:t>
      </w:r>
      <w:r w:rsidRPr="003E535F">
        <w:rPr>
          <w:rFonts w:ascii="Times New Roman" w:eastAsia="等线" w:hAnsi="Times New Roman"/>
          <w:lang w:eastAsia="zh-CN"/>
        </w:rPr>
        <w:t>.</w:t>
      </w:r>
    </w:p>
    <w:p w14:paraId="4E8EB244" w14:textId="15A66F6F" w:rsidR="00461D7F" w:rsidRDefault="00461D7F"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the following question</w:t>
      </w:r>
      <w:r w:rsidR="00DE7B86">
        <w:rPr>
          <w:rFonts w:ascii="Times New Roman" w:eastAsiaTheme="minorEastAsia" w:hAnsi="Times New Roman"/>
          <w:lang w:eastAsia="zh-CN"/>
        </w:rPr>
        <w:t>s</w:t>
      </w:r>
      <w:r>
        <w:rPr>
          <w:rFonts w:ascii="Times New Roman" w:eastAsiaTheme="minorEastAsia" w:hAnsi="Times New Roman"/>
          <w:lang w:eastAsia="zh-CN"/>
        </w:rPr>
        <w:t>:</w:t>
      </w:r>
    </w:p>
    <w:tbl>
      <w:tblPr>
        <w:tblStyle w:val="afa"/>
        <w:tblW w:w="0" w:type="auto"/>
        <w:tblLook w:val="04A0" w:firstRow="1" w:lastRow="0" w:firstColumn="1" w:lastColumn="0" w:noHBand="0" w:noVBand="1"/>
      </w:tblPr>
      <w:tblGrid>
        <w:gridCol w:w="9855"/>
      </w:tblGrid>
      <w:tr w:rsidR="00461D7F" w14:paraId="2154AE31" w14:textId="77777777" w:rsidTr="00461D7F">
        <w:tc>
          <w:tcPr>
            <w:tcW w:w="9855" w:type="dxa"/>
          </w:tcPr>
          <w:p w14:paraId="590EA173" w14:textId="26F51DB7" w:rsidR="0002755B" w:rsidRPr="009C1F0A" w:rsidRDefault="009C1F0A" w:rsidP="009C1F0A">
            <w:pPr>
              <w:pStyle w:val="00BodyText"/>
              <w:spacing w:after="0"/>
              <w:rPr>
                <w:rFonts w:ascii="Times New Roman" w:hAnsi="Times New Roman"/>
                <w:lang w:val="en-GB"/>
              </w:rPr>
            </w:pPr>
            <w:r>
              <w:rPr>
                <w:rFonts w:cs="Arial"/>
                <w:b/>
                <w:noProof/>
                <w:sz w:val="20"/>
                <w:lang w:val="en-GB" w:eastAsia="zh-CN"/>
              </w:rPr>
              <w:t>Question 1</w:t>
            </w:r>
            <w:r>
              <w:rPr>
                <w:rFonts w:cs="Arial"/>
                <w:noProof/>
                <w:sz w:val="20"/>
                <w:lang w:val="en-GB" w:eastAsia="zh-CN"/>
              </w:rPr>
              <w:t xml:space="preserve">: What does “non-serving cell” mean? </w:t>
            </w:r>
          </w:p>
        </w:tc>
      </w:tr>
    </w:tbl>
    <w:p w14:paraId="3638EA19" w14:textId="7FA23454" w:rsidR="00461D7F" w:rsidRDefault="00DE7B86" w:rsidP="00701924">
      <w:pPr>
        <w:pStyle w:val="CRCoverPage"/>
        <w:jc w:val="both"/>
        <w:rPr>
          <w:rFonts w:ascii="Times New Roman" w:eastAsiaTheme="minorEastAsia" w:hAnsi="Times New Roman"/>
          <w:lang w:eastAsia="zh-CN"/>
        </w:rPr>
      </w:pPr>
      <w:r w:rsidRPr="00DE7B86">
        <w:rPr>
          <w:rFonts w:eastAsiaTheme="minorEastAsia" w:cs="Arial"/>
          <w:b/>
          <w:noProof/>
          <w:kern w:val="2"/>
          <w:szCs w:val="22"/>
          <w:lang w:eastAsia="zh-CN"/>
        </w:rPr>
        <w:t xml:space="preserve">Answer 1: </w:t>
      </w:r>
      <w:r>
        <w:rPr>
          <w:rFonts w:ascii="Times New Roman" w:eastAsiaTheme="minorEastAsia" w:hAnsi="Times New Roman"/>
          <w:lang w:eastAsia="zh-CN"/>
        </w:rPr>
        <w:t xml:space="preserve">DL reception and UL transmission from </w:t>
      </w:r>
      <w:r w:rsidR="008D3E48">
        <w:rPr>
          <w:rFonts w:ascii="Times New Roman" w:eastAsiaTheme="minorEastAsia" w:hAnsi="Times New Roman"/>
          <w:lang w:eastAsia="zh-CN"/>
        </w:rPr>
        <w:t>“non-serving cell” means</w:t>
      </w:r>
      <w:r>
        <w:rPr>
          <w:rFonts w:ascii="Times New Roman" w:eastAsiaTheme="minorEastAsia" w:hAnsi="Times New Roman"/>
          <w:lang w:eastAsia="zh-CN"/>
        </w:rPr>
        <w:t xml:space="preserve"> DL reception and UL transmission associated with cells with PCI different from the serving cell.</w:t>
      </w:r>
    </w:p>
    <w:p w14:paraId="277CD25F" w14:textId="77777777" w:rsidR="00DE7B86" w:rsidRDefault="00DE7B86" w:rsidP="00DE7B86">
      <w:pPr>
        <w:pStyle w:val="CRCoverPage"/>
        <w:jc w:val="both"/>
        <w:rPr>
          <w:rFonts w:ascii="Times New Roman" w:eastAsiaTheme="minorEastAsia" w:hAnsi="Times New Roman"/>
          <w:lang w:eastAsia="zh-CN"/>
        </w:rPr>
      </w:pPr>
    </w:p>
    <w:tbl>
      <w:tblPr>
        <w:tblStyle w:val="afa"/>
        <w:tblW w:w="0" w:type="auto"/>
        <w:tblLook w:val="04A0" w:firstRow="1" w:lastRow="0" w:firstColumn="1" w:lastColumn="0" w:noHBand="0" w:noVBand="1"/>
      </w:tblPr>
      <w:tblGrid>
        <w:gridCol w:w="9855"/>
      </w:tblGrid>
      <w:tr w:rsidR="00DE7B86" w14:paraId="4BAB379F" w14:textId="77777777" w:rsidTr="00D53D6C">
        <w:tc>
          <w:tcPr>
            <w:tcW w:w="9855" w:type="dxa"/>
          </w:tcPr>
          <w:p w14:paraId="5214F59C" w14:textId="05EA495A" w:rsidR="00DE7B86" w:rsidRDefault="00DE7B86" w:rsidP="00665DEE">
            <w:pPr>
              <w:pStyle w:val="afb"/>
              <w:snapToGrid w:val="0"/>
              <w:spacing w:before="0" w:beforeAutospacing="0" w:after="0" w:afterAutospacing="0"/>
              <w:rPr>
                <w:rFonts w:ascii="Arial" w:eastAsia="等线" w:hAnsi="Arial" w:cs="Arial"/>
                <w:noProof/>
                <w:sz w:val="20"/>
                <w:szCs w:val="20"/>
                <w:lang w:val="en-GB"/>
              </w:rPr>
            </w:pPr>
            <w:r>
              <w:rPr>
                <w:rFonts w:ascii="Arial" w:eastAsia="等线" w:hAnsi="Arial" w:cs="Arial"/>
                <w:b/>
                <w:noProof/>
                <w:sz w:val="20"/>
                <w:szCs w:val="20"/>
                <w:lang w:val="en-GB"/>
              </w:rPr>
              <w:t>Question 2</w:t>
            </w:r>
            <w:r>
              <w:rPr>
                <w:rFonts w:ascii="Arial" w:eastAsia="等线" w:hAnsi="Arial" w:cs="Arial"/>
                <w:noProof/>
                <w:sz w:val="20"/>
                <w:szCs w:val="20"/>
                <w:lang w:val="en-GB"/>
              </w:rPr>
              <w:t>: What is the procedure of L1/L2-centric mobility? e.g.,</w:t>
            </w:r>
          </w:p>
          <w:p w14:paraId="091F4FBF" w14:textId="77777777" w:rsidR="00DE7B86" w:rsidRDefault="00DE7B86" w:rsidP="00665DEE">
            <w:pPr>
              <w:pStyle w:val="afb"/>
              <w:widowControl w:val="0"/>
              <w:numPr>
                <w:ilvl w:val="0"/>
                <w:numId w:val="27"/>
              </w:numPr>
              <w:snapToGrid w:val="0"/>
              <w:spacing w:before="0" w:beforeAutospacing="0" w:after="0" w:afterAutospacing="0"/>
              <w:jc w:val="both"/>
              <w:rPr>
                <w:rFonts w:ascii="Arial" w:eastAsia="等线" w:hAnsi="Arial" w:cs="Arial"/>
                <w:noProof/>
                <w:sz w:val="20"/>
                <w:szCs w:val="20"/>
                <w:lang w:val="en-GB"/>
              </w:rPr>
            </w:pPr>
            <w:r>
              <w:rPr>
                <w:rFonts w:ascii="Arial" w:eastAsia="等线" w:hAnsi="Arial" w:cs="Arial"/>
                <w:noProof/>
                <w:sz w:val="20"/>
                <w:szCs w:val="20"/>
                <w:lang w:val="en-GB"/>
              </w:rPr>
              <w:t>Configuration of a non-serving cell</w:t>
            </w:r>
          </w:p>
          <w:p w14:paraId="11430AD0" w14:textId="77777777" w:rsidR="00DE7B86" w:rsidRDefault="00DE7B86" w:rsidP="00665DEE">
            <w:pPr>
              <w:pStyle w:val="afb"/>
              <w:widowControl w:val="0"/>
              <w:numPr>
                <w:ilvl w:val="0"/>
                <w:numId w:val="27"/>
              </w:numPr>
              <w:snapToGrid w:val="0"/>
              <w:spacing w:before="0" w:beforeAutospacing="0" w:after="0" w:afterAutospacing="0"/>
              <w:jc w:val="both"/>
              <w:rPr>
                <w:rFonts w:ascii="Arial" w:eastAsia="等线" w:hAnsi="Arial" w:cs="Arial"/>
                <w:noProof/>
                <w:sz w:val="20"/>
                <w:szCs w:val="20"/>
                <w:lang w:val="en-GB"/>
              </w:rPr>
            </w:pPr>
            <w:r>
              <w:rPr>
                <w:rFonts w:ascii="Arial" w:eastAsia="等线" w:hAnsi="Arial" w:cs="Arial"/>
                <w:noProof/>
                <w:sz w:val="20"/>
                <w:szCs w:val="20"/>
                <w:lang w:val="en-GB"/>
              </w:rPr>
              <w:t>Deconfiguration of non-serving cell</w:t>
            </w:r>
          </w:p>
          <w:p w14:paraId="7A9F4872" w14:textId="080CBDB7" w:rsidR="00DE7B86" w:rsidRPr="009C1F0A" w:rsidRDefault="00DE7B86" w:rsidP="00665DEE">
            <w:pPr>
              <w:pStyle w:val="afb"/>
              <w:widowControl w:val="0"/>
              <w:numPr>
                <w:ilvl w:val="0"/>
                <w:numId w:val="27"/>
              </w:numPr>
              <w:snapToGrid w:val="0"/>
              <w:spacing w:before="0" w:beforeAutospacing="0" w:after="0" w:afterAutospacing="0"/>
              <w:jc w:val="both"/>
              <w:rPr>
                <w:rFonts w:ascii="Times New Roman" w:eastAsiaTheme="minorEastAsia" w:hAnsi="Times New Roman"/>
                <w:lang w:val="en-GB"/>
              </w:rPr>
            </w:pPr>
            <w:r>
              <w:rPr>
                <w:rFonts w:ascii="Arial" w:eastAsia="等线" w:hAnsi="Arial" w:cs="Arial"/>
                <w:noProof/>
                <w:sz w:val="20"/>
                <w:szCs w:val="20"/>
                <w:lang w:val="en-GB"/>
              </w:rPr>
              <w:t>Change of serving cell</w:t>
            </w:r>
          </w:p>
        </w:tc>
      </w:tr>
    </w:tbl>
    <w:p w14:paraId="3FD69E1F" w14:textId="21518468" w:rsidR="00DE7B86" w:rsidRDefault="00DE7B86" w:rsidP="00701924">
      <w:pPr>
        <w:pStyle w:val="CRCoverPage"/>
        <w:jc w:val="both"/>
        <w:rPr>
          <w:rFonts w:ascii="Times New Roman" w:eastAsiaTheme="minorEastAsia" w:hAnsi="Times New Roman"/>
          <w:lang w:eastAsia="zh-CN"/>
        </w:rPr>
      </w:pPr>
      <w:r w:rsidRPr="00DE7B86">
        <w:rPr>
          <w:rFonts w:ascii="Times New Roman" w:eastAsiaTheme="minorEastAsia" w:hAnsi="Times New Roman" w:hint="eastAsia"/>
          <w:b/>
          <w:bCs/>
          <w:lang w:eastAsia="zh-CN"/>
        </w:rPr>
        <w:t>A</w:t>
      </w:r>
      <w:r w:rsidRPr="00DE7B86">
        <w:rPr>
          <w:rFonts w:ascii="Times New Roman" w:eastAsiaTheme="minorEastAsia" w:hAnsi="Times New Roman"/>
          <w:b/>
          <w:bCs/>
          <w:lang w:eastAsia="zh-CN"/>
        </w:rPr>
        <w:t>nswer 2:</w:t>
      </w:r>
      <w:r>
        <w:rPr>
          <w:rFonts w:ascii="Times New Roman" w:eastAsiaTheme="minorEastAsia" w:hAnsi="Times New Roman"/>
          <w:lang w:eastAsia="zh-CN"/>
        </w:rPr>
        <w:t xml:space="preserve"> </w:t>
      </w:r>
      <w:r w:rsidR="00665DEE">
        <w:rPr>
          <w:rFonts w:ascii="Times New Roman" w:eastAsiaTheme="minorEastAsia" w:hAnsi="Times New Roman"/>
          <w:lang w:eastAsia="zh-CN"/>
        </w:rPr>
        <w:t>The following procedures were agreed in RAN2.</w:t>
      </w:r>
    </w:p>
    <w:p w14:paraId="1DA9FDA1" w14:textId="4983D852"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num" w:pos="1069"/>
          <w:tab w:val="num" w:pos="4046"/>
        </w:tabs>
        <w:overflowPunct/>
        <w:autoSpaceDE/>
        <w:autoSpaceDN/>
        <w:adjustRightInd/>
        <w:spacing w:before="60" w:after="0"/>
        <w:ind w:left="1069" w:hanging="360"/>
        <w:textAlignment w:val="auto"/>
        <w:rPr>
          <w:rFonts w:eastAsia="MS Mincho"/>
          <w:bCs/>
          <w:kern w:val="2"/>
          <w:szCs w:val="22"/>
          <w:lang w:eastAsia="ko-KR"/>
        </w:rPr>
      </w:pPr>
      <w:r>
        <w:rPr>
          <w:rFonts w:eastAsia="MS Mincho"/>
          <w:bCs/>
          <w:kern w:val="2"/>
          <w:szCs w:val="22"/>
          <w:lang w:val="en-US" w:eastAsia="ko-KR"/>
        </w:rPr>
        <w:tab/>
      </w:r>
      <w:r w:rsidRPr="00665DEE">
        <w:rPr>
          <w:rFonts w:eastAsia="MS Mincho"/>
          <w:bCs/>
          <w:kern w:val="2"/>
          <w:szCs w:val="22"/>
          <w:lang w:val="en-US" w:eastAsia="ko-KR"/>
        </w:rPr>
        <w:t>RAN2 confirm the simplified procedures on the inter-cell multi-TRP-like model as a baseline RAN2 understanding:</w:t>
      </w:r>
    </w:p>
    <w:p w14:paraId="1D73D757"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 xml:space="preserve">Scenario 1: Inter-cell multi-TRP-like model </w:t>
      </w:r>
    </w:p>
    <w:p w14:paraId="0018F3E2"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 xml:space="preserve">1. UE receives from serving cell, configuration of SSBs of the TRP with different PCI for beam measurement, and configurations needed to use radio resources for data transmission/reception incl resources for different PCI. </w:t>
      </w:r>
    </w:p>
    <w:p w14:paraId="5850DF52"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2. UE performs beam measurement for the TRP with different PCI and report it to serving cell.</w:t>
      </w:r>
    </w:p>
    <w:p w14:paraId="31942BCD"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 xml:space="preserve">3. Based on the above reports, TCI state(s) associated to the TRP with different PCI is activated from the serving cell (by L1/L2 signaling). </w:t>
      </w:r>
    </w:p>
    <w:p w14:paraId="1C6124E0"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 xml:space="preserve">4. UE receives and transmits using UE-dedicated channel on TRP with different PCI. </w:t>
      </w:r>
    </w:p>
    <w:p w14:paraId="55D07134"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等线"/>
          <w:bCs/>
          <w:kern w:val="2"/>
          <w:szCs w:val="22"/>
        </w:rPr>
      </w:pPr>
      <w:r w:rsidRPr="00665DEE">
        <w:rPr>
          <w:rFonts w:eastAsia="MS Mincho"/>
          <w:bCs/>
          <w:kern w:val="2"/>
          <w:szCs w:val="22"/>
        </w:rPr>
        <w:tab/>
        <w:t xml:space="preserve">5. UE should be in coverage of a serving cell always, also for multi-TRP case, </w:t>
      </w:r>
      <w:proofErr w:type="gramStart"/>
      <w:r w:rsidRPr="00665DEE">
        <w:rPr>
          <w:rFonts w:eastAsia="MS Mincho"/>
          <w:bCs/>
          <w:kern w:val="2"/>
          <w:szCs w:val="22"/>
        </w:rPr>
        <w:t>e.g.</w:t>
      </w:r>
      <w:proofErr w:type="gramEnd"/>
      <w:r w:rsidRPr="00665DEE">
        <w:rPr>
          <w:rFonts w:eastAsia="MS Mincho"/>
          <w:bCs/>
          <w:kern w:val="2"/>
          <w:szCs w:val="22"/>
        </w:rPr>
        <w:t xml:space="preserve"> UE should use common channels BCCH PCH etc. from the serving cell (as in legacy).</w:t>
      </w:r>
    </w:p>
    <w:p w14:paraId="3893AAD6" w14:textId="620EA943"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num" w:pos="1069"/>
          <w:tab w:val="num" w:pos="4046"/>
        </w:tabs>
        <w:overflowPunct/>
        <w:autoSpaceDE/>
        <w:autoSpaceDN/>
        <w:adjustRightInd/>
        <w:spacing w:before="60" w:after="0"/>
        <w:ind w:left="1069" w:hanging="360"/>
        <w:textAlignment w:val="auto"/>
        <w:rPr>
          <w:rFonts w:eastAsia="MS Mincho"/>
          <w:bCs/>
          <w:kern w:val="2"/>
          <w:szCs w:val="22"/>
          <w:lang w:val="en-US"/>
        </w:rPr>
      </w:pPr>
      <w:r>
        <w:rPr>
          <w:rFonts w:eastAsia="MS Mincho"/>
          <w:bCs/>
          <w:kern w:val="2"/>
          <w:szCs w:val="22"/>
          <w:lang w:val="en-US"/>
        </w:rPr>
        <w:tab/>
      </w:r>
      <w:r w:rsidRPr="00665DEE">
        <w:rPr>
          <w:rFonts w:eastAsia="MS Mincho"/>
          <w:bCs/>
          <w:kern w:val="2"/>
          <w:szCs w:val="22"/>
          <w:lang w:val="en-US"/>
        </w:rPr>
        <w:t>RAN2 confirm the simplified procedures on the L1L2 mobility model as a baseline RAN2 understanding:</w:t>
      </w:r>
    </w:p>
    <w:p w14:paraId="140DB082"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Scenario 2: L1L2 mobility model (</w:t>
      </w:r>
      <w:proofErr w:type="gramStart"/>
      <w:r w:rsidRPr="00665DEE">
        <w:rPr>
          <w:rFonts w:eastAsia="MS Mincho"/>
          <w:bCs/>
          <w:kern w:val="2"/>
          <w:szCs w:val="22"/>
        </w:rPr>
        <w:t>i.e.</w:t>
      </w:r>
      <w:proofErr w:type="gramEnd"/>
      <w:r w:rsidRPr="00665DEE">
        <w:rPr>
          <w:rFonts w:eastAsia="MS Mincho"/>
          <w:bCs/>
          <w:kern w:val="2"/>
          <w:szCs w:val="22"/>
        </w:rPr>
        <w:t xml:space="preserve"> with serving cell change)</w:t>
      </w:r>
    </w:p>
    <w:p w14:paraId="6C3919C1"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1. UE receives from serving cell, configuration of SSBs of the cell with different PCI for beam measurement/ serving cell change.</w:t>
      </w:r>
    </w:p>
    <w:p w14:paraId="659DF999"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 xml:space="preserve">2. UE performs beam measurement for the cell with different PCI and report it to serving cell. </w:t>
      </w:r>
    </w:p>
    <w:p w14:paraId="787D3F6A"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lastRenderedPageBreak/>
        <w:tab/>
        <w:t xml:space="preserve">3. Serving cell configuration for cell with other PCI is provided to the UE by RRC (pre-configuration for serving cell change, FFS if this step is same as 1). </w:t>
      </w:r>
    </w:p>
    <w:p w14:paraId="77F6C7BB"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4. Based on the above reports, TCI states for cell with different PCI is activated along with the serving cell change (by L1/L2 signaling). FFS if this is multiple steps.</w:t>
      </w:r>
    </w:p>
    <w:p w14:paraId="51594572" w14:textId="77777777" w:rsidR="00665DEE" w:rsidRPr="00665DEE" w:rsidRDefault="00665DEE" w:rsidP="00665DEE">
      <w:pPr>
        <w:widowControl w:val="0"/>
        <w:pBdr>
          <w:top w:val="single" w:sz="4" w:space="1" w:color="auto"/>
          <w:left w:val="single" w:sz="4" w:space="0" w:color="auto"/>
          <w:bottom w:val="single" w:sz="4" w:space="1" w:color="auto"/>
          <w:right w:val="single" w:sz="4" w:space="4" w:color="auto"/>
        </w:pBdr>
        <w:tabs>
          <w:tab w:val="left" w:pos="420"/>
        </w:tabs>
        <w:overflowPunct/>
        <w:autoSpaceDE/>
        <w:autoSpaceDN/>
        <w:adjustRightInd/>
        <w:spacing w:before="60" w:after="0"/>
        <w:ind w:left="1069" w:hanging="360"/>
        <w:textAlignment w:val="auto"/>
        <w:rPr>
          <w:rFonts w:eastAsia="MS Mincho"/>
          <w:bCs/>
          <w:kern w:val="2"/>
          <w:szCs w:val="22"/>
        </w:rPr>
      </w:pPr>
      <w:r w:rsidRPr="00665DEE">
        <w:rPr>
          <w:rFonts w:eastAsia="MS Mincho"/>
          <w:bCs/>
          <w:kern w:val="2"/>
          <w:szCs w:val="22"/>
        </w:rPr>
        <w:tab/>
        <w:t>5. UE changes the serving cell and starts receiving/transmitting using the pre-configured UE-dedicated channel and TCI states.</w:t>
      </w:r>
    </w:p>
    <w:p w14:paraId="4E8B5D41" w14:textId="77777777" w:rsidR="00665DEE" w:rsidRDefault="00665DEE" w:rsidP="00665DEE">
      <w:pPr>
        <w:pStyle w:val="CRCoverPage"/>
        <w:jc w:val="both"/>
        <w:rPr>
          <w:rFonts w:ascii="Times New Roman" w:eastAsiaTheme="minorEastAsia" w:hAnsi="Times New Roman"/>
          <w:lang w:eastAsia="zh-CN"/>
        </w:rPr>
      </w:pPr>
    </w:p>
    <w:tbl>
      <w:tblPr>
        <w:tblStyle w:val="afa"/>
        <w:tblW w:w="0" w:type="auto"/>
        <w:tblLook w:val="04A0" w:firstRow="1" w:lastRow="0" w:firstColumn="1" w:lastColumn="0" w:noHBand="0" w:noVBand="1"/>
      </w:tblPr>
      <w:tblGrid>
        <w:gridCol w:w="9855"/>
      </w:tblGrid>
      <w:tr w:rsidR="00665DEE" w14:paraId="592CACF0" w14:textId="77777777" w:rsidTr="00D53D6C">
        <w:tc>
          <w:tcPr>
            <w:tcW w:w="9855" w:type="dxa"/>
          </w:tcPr>
          <w:p w14:paraId="372D1FE0" w14:textId="03BE8625" w:rsidR="00665DEE" w:rsidRPr="00665DEE" w:rsidRDefault="00665DEE" w:rsidP="00665DEE">
            <w:pPr>
              <w:rPr>
                <w:rFonts w:ascii="Times New Roman" w:eastAsiaTheme="minorEastAsia" w:hAnsi="Times New Roman"/>
                <w:lang w:val="en-US"/>
              </w:rPr>
            </w:pPr>
            <w:r>
              <w:rPr>
                <w:rFonts w:cs="Arial"/>
                <w:b/>
                <w:noProof/>
              </w:rPr>
              <w:t>Question 3</w:t>
            </w:r>
            <w:r>
              <w:rPr>
                <w:rFonts w:cs="Arial"/>
                <w:noProof/>
              </w:rPr>
              <w:t>: Whether both intra-frequency and inter-frequency scenarios are targeted for this new scheme?</w:t>
            </w:r>
          </w:p>
        </w:tc>
      </w:tr>
    </w:tbl>
    <w:p w14:paraId="02A18CF4" w14:textId="75FCA2F9" w:rsidR="00665DEE" w:rsidRDefault="00665DEE" w:rsidP="00665DEE">
      <w:pPr>
        <w:pStyle w:val="CRCoverPage"/>
        <w:jc w:val="both"/>
        <w:rPr>
          <w:rFonts w:ascii="Times New Roman" w:eastAsiaTheme="minorEastAsia" w:hAnsi="Times New Roman"/>
          <w:lang w:eastAsia="zh-CN"/>
        </w:rPr>
      </w:pPr>
      <w:r w:rsidRPr="00DE7B86">
        <w:rPr>
          <w:rFonts w:ascii="Times New Roman" w:eastAsiaTheme="minorEastAsia" w:hAnsi="Times New Roman" w:hint="eastAsia"/>
          <w:b/>
          <w:bCs/>
          <w:lang w:eastAsia="zh-CN"/>
        </w:rPr>
        <w:t>A</w:t>
      </w:r>
      <w:r w:rsidRPr="00DE7B86">
        <w:rPr>
          <w:rFonts w:ascii="Times New Roman" w:eastAsiaTheme="minorEastAsia" w:hAnsi="Times New Roman"/>
          <w:b/>
          <w:bCs/>
          <w:lang w:eastAsia="zh-CN"/>
        </w:rPr>
        <w:t xml:space="preserve">nswer </w:t>
      </w:r>
      <w:r>
        <w:rPr>
          <w:rFonts w:ascii="Times New Roman" w:eastAsiaTheme="minorEastAsia" w:hAnsi="Times New Roman"/>
          <w:b/>
          <w:bCs/>
          <w:lang w:eastAsia="zh-CN"/>
        </w:rPr>
        <w:t>3</w:t>
      </w:r>
      <w:r w:rsidRPr="00DE7B86">
        <w:rPr>
          <w:rFonts w:ascii="Times New Roman" w:eastAsiaTheme="minorEastAsia" w:hAnsi="Times New Roman"/>
          <w:b/>
          <w:bCs/>
          <w:lang w:eastAsia="zh-CN"/>
        </w:rPr>
        <w:t>:</w:t>
      </w:r>
      <w:r>
        <w:rPr>
          <w:rFonts w:ascii="Times New Roman" w:eastAsiaTheme="minorEastAsia" w:hAnsi="Times New Roman"/>
          <w:lang w:eastAsia="zh-CN"/>
        </w:rPr>
        <w:t xml:space="preserve"> </w:t>
      </w:r>
      <w:r>
        <w:rPr>
          <w:rFonts w:ascii="Times New Roman" w:eastAsiaTheme="minorEastAsia" w:hAnsi="Times New Roman" w:hint="eastAsia"/>
          <w:lang w:eastAsia="zh-CN"/>
        </w:rPr>
        <w:t>Re</w:t>
      </w:r>
      <w:r>
        <w:rPr>
          <w:rFonts w:ascii="Times New Roman" w:eastAsiaTheme="minorEastAsia" w:hAnsi="Times New Roman"/>
          <w:lang w:eastAsia="zh-CN"/>
        </w:rPr>
        <w:t>l-17 discussion focuses on intra-frequency scenarios for this new scheme.</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641B5FDD"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77AD1973" w:rsidR="00153799" w:rsidRDefault="00153799" w:rsidP="00153799">
      <w:pPr>
        <w:pStyle w:val="CRCoverPage"/>
        <w:jc w:val="both"/>
        <w:rPr>
          <w:rFonts w:cs="Arial"/>
          <w:lang w:val="en-US"/>
        </w:rPr>
      </w:pPr>
      <w:r>
        <w:rPr>
          <w:rFonts w:cs="Arial"/>
          <w:lang w:val="en-US"/>
        </w:rPr>
        <w:t>RAN</w:t>
      </w:r>
      <w:r w:rsidR="009242D5">
        <w:rPr>
          <w:rFonts w:eastAsiaTheme="minorEastAsia" w:cs="Arial" w:hint="eastAsia"/>
          <w:lang w:val="en-US" w:eastAsia="zh-CN"/>
        </w:rPr>
        <w:t>1</w:t>
      </w:r>
      <w:r>
        <w:rPr>
          <w:rFonts w:cs="Arial"/>
          <w:lang w:val="en-US"/>
        </w:rPr>
        <w:t xml:space="preserve"> would like to respectfully request RAN</w:t>
      </w:r>
      <w:r w:rsidR="00665DEE">
        <w:rPr>
          <w:rFonts w:eastAsiaTheme="minorEastAsia" w:cs="Arial"/>
          <w:lang w:val="en-US" w:eastAsia="zh-CN"/>
        </w:rPr>
        <w:t>3</w:t>
      </w:r>
      <w:r>
        <w:rPr>
          <w:rFonts w:cs="Arial"/>
          <w:lang w:val="en-US"/>
        </w:rPr>
        <w:t xml:space="preserve"> to take the above </w:t>
      </w:r>
      <w:r w:rsidR="007E2CE6">
        <w:rPr>
          <w:rFonts w:eastAsiaTheme="minorEastAsia" w:cs="Arial" w:hint="eastAsia"/>
          <w:lang w:val="en-US" w:eastAsia="zh-CN"/>
        </w:rPr>
        <w:t>RAN1 feedback</w:t>
      </w:r>
      <w:r>
        <w:rPr>
          <w:rFonts w:cs="Arial"/>
          <w:lang w:val="en-US"/>
        </w:rPr>
        <w:t xml:space="preserve"> into account</w:t>
      </w:r>
      <w:r w:rsidR="00FC794E">
        <w:rPr>
          <w:rFonts w:cs="Arial"/>
          <w:lang w:val="en-U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491AAD08" w14:textId="047945D8"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665DEE">
        <w:rPr>
          <w:bCs/>
        </w:rPr>
        <w:t>6-bis</w:t>
      </w:r>
      <w:r w:rsidR="00815926">
        <w:rPr>
          <w:bCs/>
        </w:rPr>
        <w:t>-e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r w:rsidR="00815926">
        <w:rPr>
          <w:bCs/>
        </w:rPr>
        <w:t>emeeting</w:t>
      </w:r>
    </w:p>
    <w:p w14:paraId="01A184DE" w14:textId="6EAE970C" w:rsidR="0002755B" w:rsidRDefault="0002755B" w:rsidP="0002755B">
      <w:pPr>
        <w:tabs>
          <w:tab w:val="left" w:pos="3960"/>
          <w:tab w:val="left" w:pos="4140"/>
          <w:tab w:val="left" w:pos="4680"/>
          <w:tab w:val="left" w:pos="7200"/>
        </w:tabs>
        <w:ind w:left="2268" w:hanging="2268"/>
        <w:rPr>
          <w:bCs/>
        </w:rPr>
      </w:pPr>
      <w:r w:rsidRPr="00FB22D5">
        <w:rPr>
          <w:bCs/>
        </w:rPr>
        <w:t>TSG-RAN WG1 Meeting #10</w:t>
      </w:r>
      <w:r w:rsidR="00665DEE">
        <w:rPr>
          <w:bCs/>
        </w:rPr>
        <w:t>7</w:t>
      </w:r>
      <w:r>
        <w:rPr>
          <w:bCs/>
        </w:rPr>
        <w:t>-e</w:t>
      </w:r>
      <w:r w:rsidRPr="00FB22D5">
        <w:rPr>
          <w:rFonts w:hint="eastAsia"/>
          <w:bCs/>
        </w:rPr>
        <w:t xml:space="preserve">    </w:t>
      </w:r>
      <w:r w:rsidR="00355E08">
        <w:rPr>
          <w:bCs/>
        </w:rPr>
        <w:t xml:space="preserve">    </w:t>
      </w:r>
      <w:r>
        <w:rPr>
          <w:bCs/>
        </w:rPr>
        <w:t>1</w:t>
      </w:r>
      <w:r w:rsidR="00355E08">
        <w:rPr>
          <w:bCs/>
        </w:rPr>
        <w:t>1</w:t>
      </w:r>
      <w:r w:rsidRPr="00B5459D">
        <w:rPr>
          <w:bCs/>
          <w:vertAlign w:val="superscript"/>
        </w:rPr>
        <w:t>th</w:t>
      </w:r>
      <w:r w:rsidRPr="00FB22D5">
        <w:rPr>
          <w:bCs/>
        </w:rPr>
        <w:t xml:space="preserve"> </w:t>
      </w:r>
      <w:r>
        <w:rPr>
          <w:bCs/>
        </w:rPr>
        <w:t xml:space="preserve">– </w:t>
      </w:r>
      <w:r w:rsidR="00355E08">
        <w:rPr>
          <w:bCs/>
        </w:rPr>
        <w:t>19</w:t>
      </w:r>
      <w:r w:rsidRPr="00B5459D">
        <w:rPr>
          <w:bCs/>
          <w:vertAlign w:val="superscript"/>
        </w:rPr>
        <w:t>th</w:t>
      </w:r>
      <w:r>
        <w:rPr>
          <w:bCs/>
        </w:rPr>
        <w:t xml:space="preserve"> </w:t>
      </w:r>
      <w:r w:rsidR="00A06B87">
        <w:rPr>
          <w:bCs/>
        </w:rPr>
        <w:t>Nov</w:t>
      </w:r>
      <w:r>
        <w:rPr>
          <w:bCs/>
        </w:rPr>
        <w:t>.</w:t>
      </w:r>
      <w:r w:rsidRPr="00FB22D5">
        <w:rPr>
          <w:rFonts w:hint="eastAsia"/>
          <w:bCs/>
        </w:rPr>
        <w:t xml:space="preserve"> 202</w:t>
      </w:r>
      <w:r>
        <w:rPr>
          <w:bCs/>
        </w:rPr>
        <w:t xml:space="preserve">1      </w:t>
      </w:r>
      <w:r w:rsidRPr="00FB22D5">
        <w:rPr>
          <w:rFonts w:hint="eastAsia"/>
          <w:bCs/>
        </w:rPr>
        <w:t xml:space="preserve">      </w:t>
      </w:r>
      <w:r>
        <w:rPr>
          <w:bCs/>
        </w:rPr>
        <w:t xml:space="preserve">                   emeeting</w:t>
      </w: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16AB" w14:textId="77777777" w:rsidR="00227E95" w:rsidRDefault="00227E95">
      <w:r>
        <w:separator/>
      </w:r>
    </w:p>
  </w:endnote>
  <w:endnote w:type="continuationSeparator" w:id="0">
    <w:p w14:paraId="5226824C" w14:textId="77777777" w:rsidR="00227E95" w:rsidRDefault="0022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E2EE3" w14:textId="77777777" w:rsidR="00227E95" w:rsidRDefault="00227E95">
      <w:r>
        <w:separator/>
      </w:r>
    </w:p>
  </w:footnote>
  <w:footnote w:type="continuationSeparator" w:id="0">
    <w:p w14:paraId="336E8BA1" w14:textId="77777777" w:rsidR="00227E95" w:rsidRDefault="0022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8EA4" w14:textId="77777777" w:rsidR="00882D73" w:rsidRDefault="00882D7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14"/>
  </w:num>
  <w:num w:numId="4">
    <w:abstractNumId w:val="15"/>
  </w:num>
  <w:num w:numId="5">
    <w:abstractNumId w:val="9"/>
  </w:num>
  <w:num w:numId="6">
    <w:abstractNumId w:val="17"/>
  </w:num>
  <w:num w:numId="7">
    <w:abstractNumId w:val="21"/>
  </w:num>
  <w:num w:numId="8">
    <w:abstractNumId w:val="11"/>
  </w:num>
  <w:num w:numId="9">
    <w:abstractNumId w:val="20"/>
  </w:num>
  <w:num w:numId="10">
    <w:abstractNumId w:val="7"/>
  </w:num>
  <w:num w:numId="11">
    <w:abstractNumId w:val="23"/>
  </w:num>
  <w:num w:numId="12">
    <w:abstractNumId w:val="24"/>
  </w:num>
  <w:num w:numId="13">
    <w:abstractNumId w:val="13"/>
  </w:num>
  <w:num w:numId="14">
    <w:abstractNumId w:val="4"/>
  </w:num>
  <w:num w:numId="15">
    <w:abstractNumId w:val="10"/>
  </w:num>
  <w:num w:numId="16">
    <w:abstractNumId w:val="5"/>
  </w:num>
  <w:num w:numId="17">
    <w:abstractNumId w:val="19"/>
  </w:num>
  <w:num w:numId="18">
    <w:abstractNumId w:val="25"/>
  </w:num>
  <w:num w:numId="19">
    <w:abstractNumId w:val="16"/>
  </w:num>
  <w:num w:numId="20">
    <w:abstractNumId w:val="22"/>
  </w:num>
  <w:num w:numId="21">
    <w:abstractNumId w:val="12"/>
  </w:num>
  <w:num w:numId="22">
    <w:abstractNumId w:val="26"/>
  </w:num>
  <w:num w:numId="23">
    <w:abstractNumId w:val="8"/>
  </w:num>
  <w:num w:numId="24">
    <w:abstractNumId w:val="2"/>
  </w:num>
  <w:num w:numId="25">
    <w:abstractNumId w:val="1"/>
  </w:num>
  <w:num w:numId="26">
    <w:abstractNumId w:val="0"/>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55B"/>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7BDC"/>
    <w:rsid w:val="00077E5F"/>
    <w:rsid w:val="0008036A"/>
    <w:rsid w:val="00081160"/>
    <w:rsid w:val="00081AE6"/>
    <w:rsid w:val="00082C31"/>
    <w:rsid w:val="0008359B"/>
    <w:rsid w:val="000855EB"/>
    <w:rsid w:val="00085B52"/>
    <w:rsid w:val="000866F2"/>
    <w:rsid w:val="0009009F"/>
    <w:rsid w:val="00091557"/>
    <w:rsid w:val="000924C1"/>
    <w:rsid w:val="000924F0"/>
    <w:rsid w:val="00093474"/>
    <w:rsid w:val="0009510F"/>
    <w:rsid w:val="00096131"/>
    <w:rsid w:val="000976C2"/>
    <w:rsid w:val="00097728"/>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18FB"/>
    <w:rsid w:val="00172793"/>
    <w:rsid w:val="00173A8E"/>
    <w:rsid w:val="00177795"/>
    <w:rsid w:val="0018143F"/>
    <w:rsid w:val="00190AC1"/>
    <w:rsid w:val="0019341A"/>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27E95"/>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64E9"/>
    <w:rsid w:val="002D7637"/>
    <w:rsid w:val="002E17F2"/>
    <w:rsid w:val="002E182D"/>
    <w:rsid w:val="002E2422"/>
    <w:rsid w:val="002E7CAE"/>
    <w:rsid w:val="002F2771"/>
    <w:rsid w:val="002F37A9"/>
    <w:rsid w:val="002F6CA0"/>
    <w:rsid w:val="00301CE6"/>
    <w:rsid w:val="0030256B"/>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298"/>
    <w:rsid w:val="00326A3B"/>
    <w:rsid w:val="00331751"/>
    <w:rsid w:val="00334579"/>
    <w:rsid w:val="00335858"/>
    <w:rsid w:val="00336BDA"/>
    <w:rsid w:val="00340501"/>
    <w:rsid w:val="00340CF2"/>
    <w:rsid w:val="00341792"/>
    <w:rsid w:val="00342ACC"/>
    <w:rsid w:val="00342BD7"/>
    <w:rsid w:val="00343A07"/>
    <w:rsid w:val="003446DF"/>
    <w:rsid w:val="00344BC7"/>
    <w:rsid w:val="00345CD1"/>
    <w:rsid w:val="00346DB5"/>
    <w:rsid w:val="003477B1"/>
    <w:rsid w:val="003539D0"/>
    <w:rsid w:val="0035482C"/>
    <w:rsid w:val="00355E08"/>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976DA"/>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A7CDA"/>
    <w:rsid w:val="004B7C0C"/>
    <w:rsid w:val="004B7C90"/>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FB"/>
    <w:rsid w:val="005C78A1"/>
    <w:rsid w:val="005D09E2"/>
    <w:rsid w:val="005D1602"/>
    <w:rsid w:val="005E153E"/>
    <w:rsid w:val="005E1C6D"/>
    <w:rsid w:val="005E385F"/>
    <w:rsid w:val="005E5B81"/>
    <w:rsid w:val="005F2041"/>
    <w:rsid w:val="005F2CB1"/>
    <w:rsid w:val="005F3025"/>
    <w:rsid w:val="005F4D03"/>
    <w:rsid w:val="005F618C"/>
    <w:rsid w:val="005F6FF2"/>
    <w:rsid w:val="005F70B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5D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62B7"/>
    <w:rsid w:val="008B7B5C"/>
    <w:rsid w:val="008C0C99"/>
    <w:rsid w:val="008C2017"/>
    <w:rsid w:val="008C46A8"/>
    <w:rsid w:val="008C4958"/>
    <w:rsid w:val="008C4BAA"/>
    <w:rsid w:val="008C6AE8"/>
    <w:rsid w:val="008C7573"/>
    <w:rsid w:val="008D34F1"/>
    <w:rsid w:val="008D39D8"/>
    <w:rsid w:val="008D3E4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1F0A"/>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06B87"/>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6C89"/>
    <w:rsid w:val="00AA73F0"/>
    <w:rsid w:val="00AB0BC8"/>
    <w:rsid w:val="00AB11CA"/>
    <w:rsid w:val="00AB14D9"/>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227"/>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E7B86"/>
    <w:rsid w:val="00DF0B6E"/>
    <w:rsid w:val="00DF15E0"/>
    <w:rsid w:val="00DF37A0"/>
    <w:rsid w:val="00DF6C25"/>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2BE3"/>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71"/>
    <w:rsid w:val="00EE0BE6"/>
    <w:rsid w:val="00EE2A73"/>
    <w:rsid w:val="00EE74F6"/>
    <w:rsid w:val="00EE7DC7"/>
    <w:rsid w:val="00EF18FE"/>
    <w:rsid w:val="00EF260D"/>
    <w:rsid w:val="00EF4668"/>
    <w:rsid w:val="00EF5787"/>
    <w:rsid w:val="00EF60D0"/>
    <w:rsid w:val="00EF61BA"/>
    <w:rsid w:val="00EF7670"/>
    <w:rsid w:val="00F00761"/>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5DEE"/>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paragraph" w:customStyle="1" w:styleId="00BodyText">
    <w:name w:val="00 BodyText"/>
    <w:basedOn w:val="a0"/>
    <w:uiPriority w:val="99"/>
    <w:rsid w:val="009C1F0A"/>
    <w:pPr>
      <w:widowControl w:val="0"/>
      <w:overflowPunct/>
      <w:autoSpaceDE/>
      <w:autoSpaceDN/>
      <w:adjustRightInd/>
      <w:spacing w:after="220"/>
      <w:textAlignment w:val="auto"/>
    </w:pPr>
    <w:rPr>
      <w:rFonts w:eastAsiaTheme="minorEastAsia" w:cstheme="minorBidi"/>
      <w:kern w:val="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20989200">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693603864">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820685475">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EBE0-D8FD-444D-ADB0-117B06EF0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446</TotalTime>
  <Pages>1</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Peng Sun(vivo)</cp:lastModifiedBy>
  <cp:revision>152</cp:revision>
  <cp:lastPrinted>2008-01-31T06:09:00Z</cp:lastPrinted>
  <dcterms:created xsi:type="dcterms:W3CDTF">2019-11-19T03:00:00Z</dcterms:created>
  <dcterms:modified xsi:type="dcterms:W3CDTF">2021-08-06T11:03:00Z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